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F45C3" w14:textId="28EBE82C" w:rsidR="00C65706" w:rsidRPr="00C65706" w:rsidRDefault="00C65706" w:rsidP="00C65706">
      <w:pPr>
        <w:ind w:left="720" w:hanging="360"/>
        <w:jc w:val="right"/>
        <w:rPr>
          <w:u w:val="single"/>
        </w:rPr>
      </w:pPr>
      <w:bookmarkStart w:id="0" w:name="_GoBack"/>
      <w:bookmarkEnd w:id="0"/>
      <w:r w:rsidRPr="00C65706">
        <w:rPr>
          <w:u w:val="single"/>
        </w:rPr>
        <w:t>Appendix 2</w:t>
      </w:r>
    </w:p>
    <w:p w14:paraId="7D36B8EC" w14:textId="376126E1" w:rsidR="00C65706" w:rsidRDefault="00C65706" w:rsidP="00C65706">
      <w:pPr>
        <w:ind w:left="720" w:hanging="360"/>
        <w:jc w:val="right"/>
      </w:pPr>
    </w:p>
    <w:p w14:paraId="251D4401" w14:textId="080A85EE" w:rsidR="00C65706" w:rsidRPr="00C65706" w:rsidRDefault="00C65706" w:rsidP="00C65706">
      <w:pPr>
        <w:ind w:left="720" w:hanging="360"/>
        <w:jc w:val="center"/>
        <w:rPr>
          <w:b/>
          <w:bCs/>
          <w:u w:val="single"/>
        </w:rPr>
      </w:pPr>
      <w:r w:rsidRPr="00C65706">
        <w:rPr>
          <w:b/>
          <w:bCs/>
          <w:u w:val="single"/>
        </w:rPr>
        <w:t>Updated Note of matters considered by the Pension Fund Committee</w:t>
      </w:r>
      <w:r>
        <w:rPr>
          <w:b/>
          <w:bCs/>
          <w:u w:val="single"/>
        </w:rPr>
        <w:t xml:space="preserve"> on </w:t>
      </w:r>
      <w:r w:rsidR="00952E44">
        <w:rPr>
          <w:b/>
          <w:bCs/>
          <w:u w:val="single"/>
        </w:rPr>
        <w:t>25 November</w:t>
      </w:r>
      <w:r>
        <w:rPr>
          <w:b/>
          <w:bCs/>
          <w:u w:val="single"/>
        </w:rPr>
        <w:t xml:space="preserve"> 2020.</w:t>
      </w:r>
    </w:p>
    <w:p w14:paraId="57A8A450" w14:textId="77777777" w:rsidR="00C65706" w:rsidRDefault="00C65706" w:rsidP="00C65706">
      <w:pPr>
        <w:ind w:left="720" w:hanging="360"/>
        <w:jc w:val="right"/>
      </w:pPr>
    </w:p>
    <w:p w14:paraId="2AC88C9C" w14:textId="05D70A9E" w:rsidR="00C65706" w:rsidRDefault="00C65706" w:rsidP="00C65706">
      <w:pPr>
        <w:numPr>
          <w:ilvl w:val="0"/>
          <w:numId w:val="1"/>
        </w:numPr>
        <w:rPr>
          <w:bCs/>
          <w:szCs w:val="24"/>
        </w:rPr>
      </w:pPr>
      <w:r>
        <w:rPr>
          <w:bCs/>
          <w:szCs w:val="24"/>
        </w:rPr>
        <w:t>The m</w:t>
      </w:r>
      <w:r w:rsidRPr="005A6D20">
        <w:rPr>
          <w:bCs/>
          <w:szCs w:val="24"/>
        </w:rPr>
        <w:t xml:space="preserve">atters considered by the Pension Fund Committee at </w:t>
      </w:r>
      <w:r>
        <w:rPr>
          <w:bCs/>
          <w:szCs w:val="24"/>
        </w:rPr>
        <w:t>its</w:t>
      </w:r>
      <w:r w:rsidRPr="005A6D20">
        <w:rPr>
          <w:bCs/>
          <w:szCs w:val="24"/>
        </w:rPr>
        <w:t xml:space="preserve"> meeting on </w:t>
      </w:r>
      <w:r w:rsidR="00952E44">
        <w:rPr>
          <w:bCs/>
          <w:szCs w:val="24"/>
        </w:rPr>
        <w:t>25</w:t>
      </w:r>
      <w:r w:rsidRPr="005A6D20">
        <w:rPr>
          <w:bCs/>
          <w:szCs w:val="24"/>
        </w:rPr>
        <w:t xml:space="preserve"> </w:t>
      </w:r>
      <w:r w:rsidR="00952E44">
        <w:rPr>
          <w:bCs/>
          <w:szCs w:val="24"/>
        </w:rPr>
        <w:t>Nov</w:t>
      </w:r>
      <w:r w:rsidRPr="005A6D20">
        <w:rPr>
          <w:bCs/>
          <w:szCs w:val="24"/>
        </w:rPr>
        <w:t xml:space="preserve">ember 2020 </w:t>
      </w:r>
      <w:r>
        <w:rPr>
          <w:bCs/>
          <w:szCs w:val="24"/>
        </w:rPr>
        <w:t>are summarised in the table below. The Committee’s decisions are highlighted in bold type.</w:t>
      </w:r>
    </w:p>
    <w:p w14:paraId="6AC71250" w14:textId="77777777" w:rsidR="00C65706" w:rsidRDefault="00C65706" w:rsidP="00C65706">
      <w:pPr>
        <w:ind w:left="720"/>
        <w:rPr>
          <w:bCs/>
          <w:szCs w:val="24"/>
        </w:rPr>
      </w:pPr>
    </w:p>
    <w:p w14:paraId="72167880" w14:textId="77777777" w:rsidR="00C65706" w:rsidRDefault="00C65706" w:rsidP="00C65706">
      <w:pPr>
        <w:ind w:left="720"/>
        <w:rPr>
          <w:bCs/>
          <w:szCs w:val="24"/>
        </w:rPr>
      </w:pPr>
    </w:p>
    <w:tbl>
      <w:tblPr>
        <w:tblStyle w:val="TableGrid"/>
        <w:tblW w:w="0" w:type="auto"/>
        <w:tblInd w:w="720" w:type="dxa"/>
        <w:tblLook w:val="04A0" w:firstRow="1" w:lastRow="0" w:firstColumn="1" w:lastColumn="0" w:noHBand="0" w:noVBand="1"/>
      </w:tblPr>
      <w:tblGrid>
        <w:gridCol w:w="2961"/>
        <w:gridCol w:w="4618"/>
      </w:tblGrid>
      <w:tr w:rsidR="00952E44" w14:paraId="2A2CFBA3" w14:textId="77777777" w:rsidTr="00B30D4C">
        <w:tc>
          <w:tcPr>
            <w:tcW w:w="2961" w:type="dxa"/>
          </w:tcPr>
          <w:p w14:paraId="6319C700" w14:textId="00C7DAB0" w:rsidR="00952E44" w:rsidRPr="005A6D20" w:rsidRDefault="00952E44" w:rsidP="00952E44">
            <w:pPr>
              <w:rPr>
                <w:b/>
                <w:szCs w:val="24"/>
              </w:rPr>
            </w:pPr>
            <w:r w:rsidRPr="005A6D20">
              <w:rPr>
                <w:b/>
                <w:szCs w:val="24"/>
              </w:rPr>
              <w:t>Report</w:t>
            </w:r>
          </w:p>
        </w:tc>
        <w:tc>
          <w:tcPr>
            <w:tcW w:w="4618" w:type="dxa"/>
          </w:tcPr>
          <w:p w14:paraId="6EF4389E" w14:textId="164A0AAC" w:rsidR="00952E44" w:rsidRPr="005A6D20" w:rsidRDefault="00952E44" w:rsidP="00952E44">
            <w:pPr>
              <w:rPr>
                <w:b/>
                <w:szCs w:val="24"/>
              </w:rPr>
            </w:pPr>
            <w:r w:rsidRPr="005A6D20">
              <w:rPr>
                <w:b/>
                <w:szCs w:val="24"/>
              </w:rPr>
              <w:t>Comments</w:t>
            </w:r>
          </w:p>
        </w:tc>
      </w:tr>
      <w:tr w:rsidR="00952E44" w14:paraId="5143D06C" w14:textId="77777777" w:rsidTr="00B30D4C">
        <w:tc>
          <w:tcPr>
            <w:tcW w:w="2961" w:type="dxa"/>
          </w:tcPr>
          <w:p w14:paraId="1ABE67F8" w14:textId="4F2DDC63" w:rsidR="00952E44" w:rsidRPr="002E7D60" w:rsidRDefault="00952E44" w:rsidP="00952E44">
            <w:pPr>
              <w:rPr>
                <w:b/>
                <w:szCs w:val="24"/>
              </w:rPr>
            </w:pPr>
            <w:r w:rsidRPr="002E7D60">
              <w:rPr>
                <w:b/>
                <w:szCs w:val="24"/>
              </w:rPr>
              <w:t>Part I</w:t>
            </w:r>
          </w:p>
        </w:tc>
        <w:tc>
          <w:tcPr>
            <w:tcW w:w="4618" w:type="dxa"/>
          </w:tcPr>
          <w:p w14:paraId="15A76113" w14:textId="77777777" w:rsidR="00952E44" w:rsidRDefault="00952E44" w:rsidP="00952E44">
            <w:pPr>
              <w:rPr>
                <w:bCs/>
                <w:szCs w:val="24"/>
              </w:rPr>
            </w:pPr>
          </w:p>
        </w:tc>
      </w:tr>
      <w:tr w:rsidR="00952E44" w14:paraId="777B3102" w14:textId="77777777" w:rsidTr="00B30D4C">
        <w:tc>
          <w:tcPr>
            <w:tcW w:w="2961" w:type="dxa"/>
          </w:tcPr>
          <w:p w14:paraId="319F93C1" w14:textId="39A0BB0C" w:rsidR="00952E44" w:rsidRDefault="00952E44" w:rsidP="00952E44">
            <w:pPr>
              <w:rPr>
                <w:bCs/>
                <w:szCs w:val="24"/>
              </w:rPr>
            </w:pPr>
            <w:r>
              <w:rPr>
                <w:bCs/>
                <w:szCs w:val="24"/>
              </w:rPr>
              <w:t>Pension Fund Annual Report and Accounts 2019-20 – Outcome of External Audit</w:t>
            </w:r>
          </w:p>
        </w:tc>
        <w:tc>
          <w:tcPr>
            <w:tcW w:w="4618" w:type="dxa"/>
          </w:tcPr>
          <w:p w14:paraId="66348277" w14:textId="07618B33" w:rsidR="00952E44" w:rsidRDefault="00952E44" w:rsidP="00952E44">
            <w:pPr>
              <w:rPr>
                <w:bCs/>
                <w:szCs w:val="24"/>
              </w:rPr>
            </w:pPr>
            <w:r>
              <w:rPr>
                <w:bCs/>
                <w:szCs w:val="24"/>
              </w:rPr>
              <w:t>The Committee considered the report from external auditors (Mazars) and was asked to approve the audited documents for publication.  The external auditor’s report is included in full elsewhere on the agenda for consideration at this meeting.</w:t>
            </w:r>
          </w:p>
          <w:p w14:paraId="4425E7A3" w14:textId="7D343652" w:rsidR="00952E44" w:rsidRDefault="00952E44" w:rsidP="00952E44">
            <w:pPr>
              <w:rPr>
                <w:bCs/>
                <w:szCs w:val="24"/>
              </w:rPr>
            </w:pPr>
          </w:p>
          <w:p w14:paraId="5714ED63" w14:textId="08297A11" w:rsidR="00952E44" w:rsidRPr="00952E44" w:rsidRDefault="00952E44" w:rsidP="00952E44">
            <w:pPr>
              <w:rPr>
                <w:b/>
                <w:szCs w:val="24"/>
              </w:rPr>
            </w:pPr>
            <w:r w:rsidRPr="00952E44">
              <w:rPr>
                <w:b/>
                <w:szCs w:val="24"/>
              </w:rPr>
              <w:t xml:space="preserve">After considering the report and asking </w:t>
            </w:r>
            <w:proofErr w:type="gramStart"/>
            <w:r w:rsidRPr="00952E44">
              <w:rPr>
                <w:b/>
                <w:szCs w:val="24"/>
              </w:rPr>
              <w:t>a number of</w:t>
            </w:r>
            <w:proofErr w:type="gramEnd"/>
            <w:r w:rsidRPr="00952E44">
              <w:rPr>
                <w:b/>
                <w:szCs w:val="24"/>
              </w:rPr>
              <w:t xml:space="preserve"> questions, the Committee</w:t>
            </w:r>
          </w:p>
          <w:p w14:paraId="5105C9D6" w14:textId="273ECBD8" w:rsidR="00952E44" w:rsidRPr="00952E44" w:rsidRDefault="00952E44" w:rsidP="00952E44">
            <w:pPr>
              <w:pStyle w:val="ListParagraph"/>
              <w:numPr>
                <w:ilvl w:val="0"/>
                <w:numId w:val="4"/>
              </w:numPr>
              <w:contextualSpacing w:val="0"/>
              <w:rPr>
                <w:b/>
              </w:rPr>
            </w:pPr>
            <w:r w:rsidRPr="00952E44">
              <w:rPr>
                <w:b/>
              </w:rPr>
              <w:t>noted the auditor’s findings and action being taken to address those</w:t>
            </w:r>
          </w:p>
          <w:p w14:paraId="661CEBC9" w14:textId="006B5C6D" w:rsidR="00952E44" w:rsidRPr="00952E44" w:rsidRDefault="00952E44" w:rsidP="00952E44">
            <w:pPr>
              <w:pStyle w:val="ListParagraph"/>
              <w:numPr>
                <w:ilvl w:val="0"/>
                <w:numId w:val="4"/>
              </w:numPr>
              <w:contextualSpacing w:val="0"/>
              <w:rPr>
                <w:b/>
              </w:rPr>
            </w:pPr>
            <w:r w:rsidRPr="00952E44">
              <w:rPr>
                <w:b/>
              </w:rPr>
              <w:t>approved the audited Pension Fund Annual Report and Accounts 2019-20 shown at appendix 2 and authorised the signing thereof by the Director of Finance and Assurance, and</w:t>
            </w:r>
          </w:p>
          <w:p w14:paraId="7E8E5E13" w14:textId="010C15DA" w:rsidR="00952E44" w:rsidRPr="00952E44" w:rsidRDefault="00952E44" w:rsidP="00952E44">
            <w:pPr>
              <w:pStyle w:val="ListParagraph"/>
              <w:numPr>
                <w:ilvl w:val="0"/>
                <w:numId w:val="4"/>
              </w:numPr>
              <w:contextualSpacing w:val="0"/>
              <w:rPr>
                <w:b/>
              </w:rPr>
            </w:pPr>
            <w:r w:rsidRPr="00952E44">
              <w:rPr>
                <w:b/>
              </w:rPr>
              <w:t xml:space="preserve">authorised the Director of Finance and Assurance to make any final amendments to the Pension Fund Annual Report 2019-20 arising from the external audit prior to the signing by the auditor. </w:t>
            </w:r>
          </w:p>
          <w:p w14:paraId="2260D294" w14:textId="77777777" w:rsidR="00952E44" w:rsidRDefault="00952E44" w:rsidP="00952E44">
            <w:pPr>
              <w:rPr>
                <w:bCs/>
                <w:szCs w:val="24"/>
              </w:rPr>
            </w:pPr>
          </w:p>
        </w:tc>
      </w:tr>
      <w:tr w:rsidR="00952E44" w14:paraId="55142482" w14:textId="77777777" w:rsidTr="00B30D4C">
        <w:tc>
          <w:tcPr>
            <w:tcW w:w="2961" w:type="dxa"/>
          </w:tcPr>
          <w:p w14:paraId="068DF041" w14:textId="77777777" w:rsidR="00952E44" w:rsidRDefault="00952E44" w:rsidP="00952E44">
            <w:pPr>
              <w:rPr>
                <w:bCs/>
                <w:szCs w:val="24"/>
              </w:rPr>
            </w:pPr>
            <w:r>
              <w:rPr>
                <w:bCs/>
                <w:szCs w:val="24"/>
              </w:rPr>
              <w:t xml:space="preserve">Regulatory Changes and Court Judgements affecting the LGPS </w:t>
            </w:r>
          </w:p>
          <w:p w14:paraId="4C14113D" w14:textId="077DF789" w:rsidR="00952E44" w:rsidRDefault="00952E44" w:rsidP="00952E44">
            <w:pPr>
              <w:rPr>
                <w:bCs/>
                <w:szCs w:val="24"/>
              </w:rPr>
            </w:pPr>
          </w:p>
        </w:tc>
        <w:tc>
          <w:tcPr>
            <w:tcW w:w="4618" w:type="dxa"/>
          </w:tcPr>
          <w:p w14:paraId="0E46AAE8" w14:textId="77777777" w:rsidR="00952E44" w:rsidRDefault="00952E44" w:rsidP="00952E44">
            <w:pPr>
              <w:rPr>
                <w:bCs/>
                <w:szCs w:val="24"/>
              </w:rPr>
            </w:pPr>
            <w:r>
              <w:rPr>
                <w:bCs/>
                <w:szCs w:val="24"/>
              </w:rPr>
              <w:t>The Committee received a report on several items which are having / will have a significant impact on the administration of the Pension Fund.</w:t>
            </w:r>
          </w:p>
          <w:p w14:paraId="48175016" w14:textId="77777777" w:rsidR="00952E44" w:rsidRDefault="00952E44" w:rsidP="00952E44">
            <w:pPr>
              <w:rPr>
                <w:bCs/>
                <w:szCs w:val="24"/>
              </w:rPr>
            </w:pPr>
            <w:r>
              <w:rPr>
                <w:bCs/>
                <w:szCs w:val="24"/>
              </w:rPr>
              <w:t>In particular it was asked to approve the adoption of measures to manage the conflict between the Restriction of Public Sector Exit Payments Regulations 2020 and the current LGPS Regulations, and to endorse the approach being taken to manage the impacts of the other items.</w:t>
            </w:r>
          </w:p>
          <w:p w14:paraId="4168329C" w14:textId="77777777" w:rsidR="00952E44" w:rsidRDefault="00952E44" w:rsidP="00952E44">
            <w:pPr>
              <w:rPr>
                <w:bCs/>
                <w:szCs w:val="24"/>
              </w:rPr>
            </w:pPr>
          </w:p>
          <w:p w14:paraId="6DFCC148" w14:textId="77777777" w:rsidR="00952E44" w:rsidRDefault="00952E44" w:rsidP="00952E44">
            <w:pPr>
              <w:rPr>
                <w:bCs/>
                <w:szCs w:val="24"/>
              </w:rPr>
            </w:pPr>
            <w:r>
              <w:rPr>
                <w:bCs/>
                <w:szCs w:val="24"/>
              </w:rPr>
              <w:t xml:space="preserve">The report is included in full on the agenda for this meeting. </w:t>
            </w:r>
          </w:p>
          <w:p w14:paraId="6F4CAA82" w14:textId="77777777" w:rsidR="00952E44" w:rsidRDefault="00952E44" w:rsidP="00952E44">
            <w:pPr>
              <w:rPr>
                <w:bCs/>
                <w:szCs w:val="24"/>
              </w:rPr>
            </w:pPr>
          </w:p>
          <w:p w14:paraId="0A17E16D" w14:textId="77777777" w:rsidR="00952E44" w:rsidRPr="00952E44" w:rsidRDefault="00952E44" w:rsidP="00952E44">
            <w:pPr>
              <w:rPr>
                <w:b/>
                <w:szCs w:val="24"/>
              </w:rPr>
            </w:pPr>
            <w:r w:rsidRPr="00952E44">
              <w:rPr>
                <w:b/>
                <w:szCs w:val="24"/>
              </w:rPr>
              <w:t xml:space="preserve">After considering the report and asking </w:t>
            </w:r>
            <w:proofErr w:type="gramStart"/>
            <w:r w:rsidRPr="00952E44">
              <w:rPr>
                <w:b/>
                <w:szCs w:val="24"/>
              </w:rPr>
              <w:t>a number of</w:t>
            </w:r>
            <w:proofErr w:type="gramEnd"/>
            <w:r w:rsidRPr="00952E44">
              <w:rPr>
                <w:b/>
                <w:szCs w:val="24"/>
              </w:rPr>
              <w:t xml:space="preserve"> questions, the Committee</w:t>
            </w:r>
          </w:p>
          <w:p w14:paraId="485B5122" w14:textId="6E8A0E41" w:rsidR="00952E44" w:rsidRPr="00952E44" w:rsidRDefault="00952E44" w:rsidP="00952E44">
            <w:pPr>
              <w:pStyle w:val="ListParagraph"/>
              <w:numPr>
                <w:ilvl w:val="0"/>
                <w:numId w:val="5"/>
              </w:numPr>
              <w:contextualSpacing w:val="0"/>
              <w:rPr>
                <w:b/>
                <w:bCs/>
              </w:rPr>
            </w:pPr>
            <w:r w:rsidRPr="00952E44">
              <w:rPr>
                <w:b/>
                <w:bCs/>
              </w:rPr>
              <w:t>agreed that, until the LGPS Regulations 2013 (‘the Regulations’) are amended,  where a member aged 55 or over is made redundant and the £95k exit payment cap would be breached by reason of the payment of pension strain,  the following should be offered to the member:</w:t>
            </w:r>
          </w:p>
          <w:p w14:paraId="724472E5" w14:textId="77777777" w:rsidR="00952E44" w:rsidRPr="00952E44" w:rsidRDefault="00952E44" w:rsidP="00952E44">
            <w:pPr>
              <w:pStyle w:val="ListParagraph"/>
              <w:numPr>
                <w:ilvl w:val="0"/>
                <w:numId w:val="6"/>
              </w:numPr>
              <w:contextualSpacing w:val="0"/>
              <w:rPr>
                <w:b/>
                <w:bCs/>
              </w:rPr>
            </w:pPr>
            <w:r w:rsidRPr="00952E44">
              <w:rPr>
                <w:b/>
                <w:bCs/>
              </w:rPr>
              <w:t>An actuarially reduced pension under Regulation 30(5) of the Regulations; or</w:t>
            </w:r>
          </w:p>
          <w:p w14:paraId="46F8AA76" w14:textId="77777777" w:rsidR="00952E44" w:rsidRPr="00952E44" w:rsidRDefault="00952E44" w:rsidP="00952E44">
            <w:pPr>
              <w:pStyle w:val="ListParagraph"/>
              <w:numPr>
                <w:ilvl w:val="0"/>
                <w:numId w:val="6"/>
              </w:numPr>
              <w:contextualSpacing w:val="0"/>
              <w:rPr>
                <w:b/>
                <w:bCs/>
              </w:rPr>
            </w:pPr>
            <w:r w:rsidRPr="00952E44">
              <w:rPr>
                <w:b/>
                <w:bCs/>
              </w:rPr>
              <w:t>A deferred pension under Regulation 6 of the Regulations.</w:t>
            </w:r>
          </w:p>
          <w:p w14:paraId="409668A3" w14:textId="603B5F0B" w:rsidR="00952E44" w:rsidRPr="00952E44" w:rsidRDefault="00952E44" w:rsidP="00952E44">
            <w:pPr>
              <w:pStyle w:val="ListParagraph"/>
              <w:numPr>
                <w:ilvl w:val="0"/>
                <w:numId w:val="5"/>
              </w:numPr>
              <w:contextualSpacing w:val="0"/>
              <w:rPr>
                <w:b/>
                <w:bCs/>
              </w:rPr>
            </w:pPr>
            <w:r w:rsidRPr="00952E44">
              <w:rPr>
                <w:b/>
                <w:bCs/>
              </w:rPr>
              <w:t>agreed that the draft actuarial factors issued by the Government Actuary Department be used in the calculation of pension strain unless and until different factors are issued.</w:t>
            </w:r>
          </w:p>
          <w:p w14:paraId="5B3F6405" w14:textId="5BC335EA" w:rsidR="00952E44" w:rsidRPr="00952E44" w:rsidRDefault="00952E44" w:rsidP="00952E44">
            <w:pPr>
              <w:pStyle w:val="ListParagraph"/>
              <w:numPr>
                <w:ilvl w:val="0"/>
                <w:numId w:val="5"/>
              </w:numPr>
              <w:contextualSpacing w:val="0"/>
              <w:rPr>
                <w:b/>
                <w:bCs/>
              </w:rPr>
            </w:pPr>
            <w:r w:rsidRPr="00952E44">
              <w:rPr>
                <w:b/>
                <w:bCs/>
              </w:rPr>
              <w:t xml:space="preserve">noted the implications of the </w:t>
            </w:r>
            <w:r w:rsidR="00BF0CA6">
              <w:rPr>
                <w:b/>
                <w:bCs/>
              </w:rPr>
              <w:t xml:space="preserve">  </w:t>
            </w:r>
            <w:r w:rsidRPr="00952E44">
              <w:rPr>
                <w:b/>
                <w:bCs/>
              </w:rPr>
              <w:t>McCloud/</w:t>
            </w:r>
            <w:proofErr w:type="spellStart"/>
            <w:r w:rsidRPr="00952E44">
              <w:rPr>
                <w:b/>
                <w:bCs/>
              </w:rPr>
              <w:t>Sargeant</w:t>
            </w:r>
            <w:proofErr w:type="spellEnd"/>
            <w:r w:rsidRPr="00952E44">
              <w:rPr>
                <w:b/>
                <w:bCs/>
              </w:rPr>
              <w:t xml:space="preserve"> judgment</w:t>
            </w:r>
          </w:p>
          <w:p w14:paraId="04E9CF3A" w14:textId="30CC6047" w:rsidR="00952E44" w:rsidRPr="00952E44" w:rsidRDefault="00952E44" w:rsidP="00952E44">
            <w:pPr>
              <w:pStyle w:val="ListParagraph"/>
              <w:numPr>
                <w:ilvl w:val="0"/>
                <w:numId w:val="5"/>
              </w:numPr>
              <w:contextualSpacing w:val="0"/>
              <w:rPr>
                <w:b/>
                <w:bCs/>
              </w:rPr>
            </w:pPr>
            <w:r w:rsidRPr="00952E44">
              <w:rPr>
                <w:b/>
                <w:bCs/>
              </w:rPr>
              <w:t>noted the implications of the Goodwin judgment</w:t>
            </w:r>
          </w:p>
          <w:p w14:paraId="730947EB" w14:textId="6AF836DC" w:rsidR="00952E44" w:rsidRPr="00BF0CA6" w:rsidRDefault="00952E44" w:rsidP="00952E44">
            <w:pPr>
              <w:pStyle w:val="ListParagraph"/>
              <w:numPr>
                <w:ilvl w:val="0"/>
                <w:numId w:val="5"/>
              </w:numPr>
              <w:contextualSpacing w:val="0"/>
              <w:rPr>
                <w:b/>
                <w:bCs/>
              </w:rPr>
            </w:pPr>
            <w:r w:rsidRPr="00BF0CA6">
              <w:rPr>
                <w:b/>
                <w:bCs/>
              </w:rPr>
              <w:t>noted the new Employer Flexibilities</w:t>
            </w:r>
            <w:r w:rsidR="00BF0CA6">
              <w:rPr>
                <w:b/>
                <w:bCs/>
              </w:rPr>
              <w:t>.</w:t>
            </w:r>
          </w:p>
          <w:p w14:paraId="5A56F57A" w14:textId="64963F5A" w:rsidR="00952E44" w:rsidRDefault="00952E44" w:rsidP="00952E44">
            <w:pPr>
              <w:rPr>
                <w:bCs/>
                <w:szCs w:val="24"/>
              </w:rPr>
            </w:pPr>
          </w:p>
        </w:tc>
      </w:tr>
      <w:tr w:rsidR="00952E44" w14:paraId="57339360" w14:textId="77777777" w:rsidTr="00B30D4C">
        <w:tc>
          <w:tcPr>
            <w:tcW w:w="2961" w:type="dxa"/>
          </w:tcPr>
          <w:p w14:paraId="00C96B3E" w14:textId="5402380A" w:rsidR="00952E44" w:rsidRDefault="00952E44" w:rsidP="00952E44">
            <w:pPr>
              <w:rPr>
                <w:bCs/>
                <w:szCs w:val="24"/>
              </w:rPr>
            </w:pPr>
            <w:r>
              <w:rPr>
                <w:bCs/>
                <w:szCs w:val="24"/>
              </w:rPr>
              <w:lastRenderedPageBreak/>
              <w:t>Pension Fund Risk Register</w:t>
            </w:r>
          </w:p>
        </w:tc>
        <w:tc>
          <w:tcPr>
            <w:tcW w:w="4618" w:type="dxa"/>
          </w:tcPr>
          <w:p w14:paraId="742CC7CC" w14:textId="77777777" w:rsidR="00952E44" w:rsidRDefault="00952E44" w:rsidP="00952E44">
            <w:pPr>
              <w:rPr>
                <w:bCs/>
                <w:szCs w:val="24"/>
              </w:rPr>
            </w:pPr>
            <w:r>
              <w:rPr>
                <w:bCs/>
                <w:szCs w:val="24"/>
              </w:rPr>
              <w:t xml:space="preserve">The Committee reviewed and considered changes to the Pension Fund Risk Register. </w:t>
            </w:r>
          </w:p>
          <w:p w14:paraId="74F9DA16" w14:textId="77777777" w:rsidR="00952E44" w:rsidRDefault="00952E44" w:rsidP="00952E44">
            <w:pPr>
              <w:rPr>
                <w:bCs/>
                <w:szCs w:val="24"/>
              </w:rPr>
            </w:pPr>
          </w:p>
          <w:p w14:paraId="393480BF" w14:textId="77777777" w:rsidR="00BF0CA6" w:rsidRDefault="00952E44" w:rsidP="00BF0CA6">
            <w:pPr>
              <w:rPr>
                <w:bCs/>
                <w:szCs w:val="24"/>
              </w:rPr>
            </w:pPr>
            <w:r>
              <w:rPr>
                <w:bCs/>
                <w:szCs w:val="24"/>
              </w:rPr>
              <w:t>These documents are reported in full elsewhere on the Board’s agenda for consideration at this meeting.</w:t>
            </w:r>
          </w:p>
          <w:p w14:paraId="4CE6627A" w14:textId="77777777" w:rsidR="00BF0CA6" w:rsidRDefault="00BF0CA6" w:rsidP="00BF0CA6"/>
          <w:p w14:paraId="52991E7D" w14:textId="56116A87" w:rsidR="00952E44" w:rsidRDefault="00BF0CA6" w:rsidP="00BF0CA6">
            <w:pPr>
              <w:rPr>
                <w:bCs/>
                <w:szCs w:val="24"/>
              </w:rPr>
            </w:pPr>
            <w:r>
              <w:rPr>
                <w:b/>
                <w:bCs/>
              </w:rPr>
              <w:t xml:space="preserve">The Committee reviewed and commented upon the </w:t>
            </w:r>
            <w:r w:rsidRPr="00BF0CA6">
              <w:rPr>
                <w:b/>
                <w:bCs/>
              </w:rPr>
              <w:t xml:space="preserve">updated risk register, and approved </w:t>
            </w:r>
            <w:r w:rsidRPr="00BF0CA6">
              <w:rPr>
                <w:b/>
                <w:bCs/>
                <w:szCs w:val="24"/>
              </w:rPr>
              <w:t>the revised format set out in appendixes 2 and 3</w:t>
            </w:r>
            <w:r w:rsidRPr="00883622">
              <w:rPr>
                <w:szCs w:val="24"/>
              </w:rPr>
              <w:t xml:space="preserve"> </w:t>
            </w:r>
            <w:r w:rsidRPr="00BF0CA6">
              <w:rPr>
                <w:b/>
                <w:bCs/>
                <w:szCs w:val="24"/>
              </w:rPr>
              <w:t>of the report.</w:t>
            </w:r>
          </w:p>
        </w:tc>
      </w:tr>
      <w:tr w:rsidR="00BF0CA6" w14:paraId="4EBE0DA1" w14:textId="77777777" w:rsidTr="00B30D4C">
        <w:tc>
          <w:tcPr>
            <w:tcW w:w="2961" w:type="dxa"/>
          </w:tcPr>
          <w:p w14:paraId="4EA9154C" w14:textId="792CFC20" w:rsidR="00BF0CA6" w:rsidRPr="00BF0CA6" w:rsidRDefault="00BF0CA6" w:rsidP="00952E44">
            <w:pPr>
              <w:rPr>
                <w:b/>
                <w:bCs/>
              </w:rPr>
            </w:pPr>
            <w:r w:rsidRPr="00BF0CA6">
              <w:rPr>
                <w:b/>
                <w:bCs/>
              </w:rPr>
              <w:lastRenderedPageBreak/>
              <w:t>Report</w:t>
            </w:r>
          </w:p>
        </w:tc>
        <w:tc>
          <w:tcPr>
            <w:tcW w:w="4618" w:type="dxa"/>
          </w:tcPr>
          <w:p w14:paraId="47A2E1D2" w14:textId="3BF2B1A5" w:rsidR="00BF0CA6" w:rsidRPr="00BF0CA6" w:rsidRDefault="00BF0CA6" w:rsidP="00952E44">
            <w:pPr>
              <w:rPr>
                <w:b/>
                <w:bCs/>
                <w:szCs w:val="24"/>
              </w:rPr>
            </w:pPr>
            <w:r w:rsidRPr="00BF0CA6">
              <w:rPr>
                <w:b/>
                <w:bCs/>
                <w:szCs w:val="24"/>
              </w:rPr>
              <w:t>Comments</w:t>
            </w:r>
          </w:p>
        </w:tc>
      </w:tr>
      <w:tr w:rsidR="00952E44" w14:paraId="7E358536" w14:textId="77777777" w:rsidTr="00B30D4C">
        <w:tc>
          <w:tcPr>
            <w:tcW w:w="2961" w:type="dxa"/>
          </w:tcPr>
          <w:p w14:paraId="70A9AE47" w14:textId="6F167550" w:rsidR="00952E44" w:rsidRPr="002E7D60" w:rsidRDefault="00952E44" w:rsidP="00952E44">
            <w:pPr>
              <w:rPr>
                <w:b/>
                <w:szCs w:val="24"/>
              </w:rPr>
            </w:pPr>
            <w:r>
              <w:t>Performance Dashboard and Update on Regular items</w:t>
            </w:r>
          </w:p>
        </w:tc>
        <w:tc>
          <w:tcPr>
            <w:tcW w:w="4618" w:type="dxa"/>
          </w:tcPr>
          <w:p w14:paraId="4B9F6A09" w14:textId="77777777" w:rsidR="00952E44" w:rsidRDefault="00952E44" w:rsidP="00952E44">
            <w:pPr>
              <w:rPr>
                <w:bCs/>
                <w:szCs w:val="24"/>
              </w:rPr>
            </w:pPr>
            <w:r>
              <w:rPr>
                <w:bCs/>
                <w:szCs w:val="24"/>
              </w:rPr>
              <w:t xml:space="preserve">The report summarised the position of the Fund at 30 September 2020 and set out a proposed work programme for the Committee for the remainder of 2020-21. </w:t>
            </w:r>
          </w:p>
          <w:p w14:paraId="3DB3AB5E" w14:textId="77777777" w:rsidR="00952E44" w:rsidRDefault="00952E44" w:rsidP="00952E44">
            <w:pPr>
              <w:rPr>
                <w:bCs/>
                <w:szCs w:val="24"/>
              </w:rPr>
            </w:pPr>
          </w:p>
          <w:p w14:paraId="30C215A8" w14:textId="4F5D827E" w:rsidR="00952E44" w:rsidRDefault="00952E44" w:rsidP="00952E44">
            <w:pPr>
              <w:rPr>
                <w:bCs/>
                <w:szCs w:val="24"/>
              </w:rPr>
            </w:pPr>
            <w:r>
              <w:rPr>
                <w:bCs/>
                <w:szCs w:val="24"/>
              </w:rPr>
              <w:t xml:space="preserve">The performance dashboard is attached at appendix 1. </w:t>
            </w:r>
          </w:p>
          <w:p w14:paraId="5163FD41" w14:textId="03F78C85" w:rsidR="00BF0CA6" w:rsidRDefault="00BF0CA6" w:rsidP="00952E44">
            <w:pPr>
              <w:rPr>
                <w:bCs/>
                <w:szCs w:val="24"/>
              </w:rPr>
            </w:pPr>
          </w:p>
          <w:p w14:paraId="4AD67EFE" w14:textId="13953FE1" w:rsidR="00BF0CA6" w:rsidRPr="00BF0CA6" w:rsidRDefault="00BF0CA6" w:rsidP="00952E44">
            <w:pPr>
              <w:rPr>
                <w:b/>
                <w:szCs w:val="24"/>
              </w:rPr>
            </w:pPr>
            <w:r>
              <w:rPr>
                <w:b/>
                <w:szCs w:val="24"/>
              </w:rPr>
              <w:t xml:space="preserve">The Committee noted and commented on the </w:t>
            </w:r>
            <w:proofErr w:type="gramStart"/>
            <w:r>
              <w:rPr>
                <w:b/>
                <w:szCs w:val="24"/>
              </w:rPr>
              <w:t>report, and</w:t>
            </w:r>
            <w:proofErr w:type="gramEnd"/>
            <w:r>
              <w:rPr>
                <w:b/>
                <w:szCs w:val="24"/>
              </w:rPr>
              <w:t xml:space="preserve"> agreed that the training session before the Committee’s next meeting would focus on the currency hedging of the Fund’s global equity portfolio undertaken by Record Currency Management.</w:t>
            </w:r>
          </w:p>
          <w:p w14:paraId="388FC2EB" w14:textId="77777777" w:rsidR="00952E44" w:rsidRDefault="00952E44" w:rsidP="00952E44">
            <w:pPr>
              <w:rPr>
                <w:bCs/>
                <w:szCs w:val="24"/>
              </w:rPr>
            </w:pPr>
          </w:p>
        </w:tc>
      </w:tr>
      <w:tr w:rsidR="00952E44" w14:paraId="66F1D8DD" w14:textId="77777777" w:rsidTr="00B30D4C">
        <w:tc>
          <w:tcPr>
            <w:tcW w:w="2961" w:type="dxa"/>
          </w:tcPr>
          <w:p w14:paraId="767B8F31" w14:textId="658EF4DF" w:rsidR="00952E44" w:rsidRDefault="00952E44" w:rsidP="00952E44">
            <w:pPr>
              <w:rPr>
                <w:b/>
                <w:szCs w:val="24"/>
              </w:rPr>
            </w:pPr>
          </w:p>
        </w:tc>
        <w:tc>
          <w:tcPr>
            <w:tcW w:w="4618" w:type="dxa"/>
          </w:tcPr>
          <w:p w14:paraId="7D314A07" w14:textId="16FC3BCD" w:rsidR="00952E44" w:rsidRDefault="00952E44" w:rsidP="00952E44">
            <w:pPr>
              <w:rPr>
                <w:bCs/>
                <w:szCs w:val="24"/>
              </w:rPr>
            </w:pPr>
          </w:p>
        </w:tc>
      </w:tr>
      <w:tr w:rsidR="00952E44" w14:paraId="11173633" w14:textId="77777777" w:rsidTr="00B30D4C">
        <w:tc>
          <w:tcPr>
            <w:tcW w:w="2961" w:type="dxa"/>
          </w:tcPr>
          <w:p w14:paraId="664472A2" w14:textId="0941B6CB" w:rsidR="00952E44" w:rsidRDefault="00952E44" w:rsidP="00952E44">
            <w:pPr>
              <w:rPr>
                <w:bCs/>
                <w:szCs w:val="24"/>
              </w:rPr>
            </w:pPr>
            <w:r w:rsidRPr="002E7D60">
              <w:rPr>
                <w:b/>
                <w:szCs w:val="24"/>
              </w:rPr>
              <w:t>Part II</w:t>
            </w:r>
          </w:p>
        </w:tc>
        <w:tc>
          <w:tcPr>
            <w:tcW w:w="4618" w:type="dxa"/>
          </w:tcPr>
          <w:p w14:paraId="5FA9D32C" w14:textId="77777777" w:rsidR="00952E44" w:rsidRDefault="00952E44" w:rsidP="00952E44">
            <w:pPr>
              <w:rPr>
                <w:bCs/>
                <w:szCs w:val="24"/>
              </w:rPr>
            </w:pPr>
          </w:p>
        </w:tc>
      </w:tr>
      <w:tr w:rsidR="00952E44" w14:paraId="5156409B" w14:textId="77777777" w:rsidTr="00B30D4C">
        <w:tc>
          <w:tcPr>
            <w:tcW w:w="2961" w:type="dxa"/>
          </w:tcPr>
          <w:p w14:paraId="4286F5A1" w14:textId="66D53616" w:rsidR="00952E44" w:rsidRDefault="00952E44" w:rsidP="00952E44">
            <w:pPr>
              <w:rPr>
                <w:bCs/>
                <w:szCs w:val="24"/>
              </w:rPr>
            </w:pPr>
            <w:r>
              <w:rPr>
                <w:bCs/>
                <w:szCs w:val="24"/>
              </w:rPr>
              <w:t>Investment Strategy Review</w:t>
            </w:r>
          </w:p>
        </w:tc>
        <w:tc>
          <w:tcPr>
            <w:tcW w:w="4618" w:type="dxa"/>
          </w:tcPr>
          <w:p w14:paraId="1C88E3E7" w14:textId="77777777" w:rsidR="00952E44" w:rsidRDefault="00952E44" w:rsidP="00952E44">
            <w:pPr>
              <w:rPr>
                <w:szCs w:val="24"/>
              </w:rPr>
            </w:pPr>
            <w:r w:rsidRPr="00AE089B">
              <w:rPr>
                <w:szCs w:val="24"/>
              </w:rPr>
              <w:t>Members received a confidential report of the Director of Finance</w:t>
            </w:r>
            <w:r>
              <w:rPr>
                <w:szCs w:val="24"/>
              </w:rPr>
              <w:t xml:space="preserve"> and Assurance</w:t>
            </w:r>
            <w:r w:rsidRPr="00AE089B">
              <w:rPr>
                <w:szCs w:val="24"/>
              </w:rPr>
              <w:t xml:space="preserve"> on </w:t>
            </w:r>
            <w:r>
              <w:rPr>
                <w:szCs w:val="24"/>
              </w:rPr>
              <w:t xml:space="preserve">the </w:t>
            </w:r>
            <w:r w:rsidRPr="00AE089B">
              <w:rPr>
                <w:szCs w:val="24"/>
              </w:rPr>
              <w:t xml:space="preserve">Investment Strategy Review </w:t>
            </w:r>
            <w:r>
              <w:rPr>
                <w:szCs w:val="24"/>
              </w:rPr>
              <w:t xml:space="preserve">and were recommended to approve </w:t>
            </w:r>
            <w:proofErr w:type="gramStart"/>
            <w:r>
              <w:rPr>
                <w:szCs w:val="24"/>
              </w:rPr>
              <w:t>a number of</w:t>
            </w:r>
            <w:proofErr w:type="gramEnd"/>
            <w:r>
              <w:rPr>
                <w:szCs w:val="24"/>
              </w:rPr>
              <w:t xml:space="preserve"> </w:t>
            </w:r>
            <w:r w:rsidRPr="00AE089B">
              <w:rPr>
                <w:szCs w:val="24"/>
              </w:rPr>
              <w:t>actions to progress the Review</w:t>
            </w:r>
            <w:r>
              <w:rPr>
                <w:szCs w:val="24"/>
              </w:rPr>
              <w:t xml:space="preserve">. </w:t>
            </w:r>
            <w:r w:rsidRPr="00AE089B">
              <w:rPr>
                <w:szCs w:val="24"/>
              </w:rPr>
              <w:t xml:space="preserve">  </w:t>
            </w:r>
          </w:p>
          <w:p w14:paraId="7284E31F" w14:textId="77777777" w:rsidR="00952E44" w:rsidRDefault="00952E44" w:rsidP="00952E44">
            <w:pPr>
              <w:rPr>
                <w:bCs/>
                <w:szCs w:val="24"/>
              </w:rPr>
            </w:pPr>
          </w:p>
          <w:p w14:paraId="6DF660CF" w14:textId="1B99A891" w:rsidR="00BF0CA6" w:rsidRPr="00C95863" w:rsidRDefault="00C95863" w:rsidP="00952E44">
            <w:pPr>
              <w:rPr>
                <w:b/>
                <w:szCs w:val="24"/>
              </w:rPr>
            </w:pPr>
            <w:r w:rsidRPr="00C95863">
              <w:rPr>
                <w:b/>
                <w:szCs w:val="24"/>
              </w:rPr>
              <w:t xml:space="preserve">The Committee approved a number of recommendations relating to the review of its equity </w:t>
            </w:r>
            <w:proofErr w:type="gramStart"/>
            <w:r w:rsidRPr="00C95863">
              <w:rPr>
                <w:b/>
                <w:szCs w:val="24"/>
              </w:rPr>
              <w:t>portfolio, and</w:t>
            </w:r>
            <w:proofErr w:type="gramEnd"/>
            <w:r w:rsidRPr="00C95863">
              <w:rPr>
                <w:b/>
                <w:szCs w:val="24"/>
              </w:rPr>
              <w:t xml:space="preserve"> agreed that the next stage of the review will be to consider the Fund’s diversifying return assets and its risk control assets.</w:t>
            </w:r>
          </w:p>
          <w:p w14:paraId="1DC95F35" w14:textId="34EA309B" w:rsidR="00BF0CA6" w:rsidRDefault="00BF0CA6" w:rsidP="00952E44">
            <w:pPr>
              <w:rPr>
                <w:bCs/>
                <w:szCs w:val="24"/>
              </w:rPr>
            </w:pPr>
          </w:p>
        </w:tc>
      </w:tr>
    </w:tbl>
    <w:p w14:paraId="513D2277" w14:textId="77777777" w:rsidR="0003283C" w:rsidRDefault="0003283C"/>
    <w:sectPr w:rsidR="000328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93AF2"/>
    <w:multiLevelType w:val="hybridMultilevel"/>
    <w:tmpl w:val="750AA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465662"/>
    <w:multiLevelType w:val="hybridMultilevel"/>
    <w:tmpl w:val="BDAAC53C"/>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38041E"/>
    <w:multiLevelType w:val="hybridMultilevel"/>
    <w:tmpl w:val="B2805568"/>
    <w:lvl w:ilvl="0" w:tplc="C79E70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DD32052"/>
    <w:multiLevelType w:val="hybridMultilevel"/>
    <w:tmpl w:val="63A635E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E40A06"/>
    <w:multiLevelType w:val="hybridMultilevel"/>
    <w:tmpl w:val="55DEB62A"/>
    <w:lvl w:ilvl="0" w:tplc="FFFFFFFF">
      <w:start w:val="1"/>
      <w:numFmt w:val="decimal"/>
      <w:lvlText w:val="(%1)"/>
      <w:lvlJc w:val="left"/>
      <w:pPr>
        <w:ind w:left="720" w:hanging="720"/>
      </w:pPr>
      <w:rPr>
        <w:rFonts w:ascii="Arial" w:hAnsi="Arial" w:cs="Arial"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6DE40A07"/>
    <w:multiLevelType w:val="hybridMultilevel"/>
    <w:tmpl w:val="991C4128"/>
    <w:lvl w:ilvl="0" w:tplc="FFFFFFFF">
      <w:start w:val="1"/>
      <w:numFmt w:val="bullet"/>
      <w:lvlText w:val=""/>
      <w:lvlJc w:val="left"/>
      <w:pPr>
        <w:ind w:left="2880" w:hanging="720"/>
      </w:pPr>
      <w:rPr>
        <w:rFonts w:ascii="Symbol" w:hAnsi="Symbol" w:hint="default"/>
      </w:rPr>
    </w:lvl>
    <w:lvl w:ilvl="1" w:tplc="FFFFFFFF">
      <w:start w:val="1"/>
      <w:numFmt w:val="bullet"/>
      <w:lvlText w:val=""/>
      <w:lvlJc w:val="left"/>
      <w:pPr>
        <w:tabs>
          <w:tab w:val="num" w:pos="1440"/>
        </w:tabs>
        <w:ind w:left="1440" w:hanging="72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78116887"/>
    <w:multiLevelType w:val="hybridMultilevel"/>
    <w:tmpl w:val="906613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06"/>
    <w:rsid w:val="000114BC"/>
    <w:rsid w:val="0003283C"/>
    <w:rsid w:val="00626103"/>
    <w:rsid w:val="0077415A"/>
    <w:rsid w:val="00952E44"/>
    <w:rsid w:val="009B26F7"/>
    <w:rsid w:val="00BF0CA6"/>
    <w:rsid w:val="00C65706"/>
    <w:rsid w:val="00C95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C206"/>
  <w15:chartTrackingRefBased/>
  <w15:docId w15:val="{5ADD26D9-1F59-4FD0-A326-1FF00A17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70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57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6F7"/>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570</Words>
  <Characters>3255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Randall</dc:creator>
  <cp:keywords/>
  <dc:description/>
  <cp:lastModifiedBy>Nikoleta Nikolova</cp:lastModifiedBy>
  <cp:revision>2</cp:revision>
  <dcterms:created xsi:type="dcterms:W3CDTF">2020-11-26T14:34:00Z</dcterms:created>
  <dcterms:modified xsi:type="dcterms:W3CDTF">2020-11-26T14:34:00Z</dcterms:modified>
</cp:coreProperties>
</file>